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0CA36" w14:textId="5B36AC40" w:rsidR="00F242E2" w:rsidRPr="00F242E2" w:rsidRDefault="00F242E2" w:rsidP="00F242E2">
      <w:pPr>
        <w:pStyle w:val="NormalWeb"/>
        <w:shd w:val="clear" w:color="auto" w:fill="FFFFFF"/>
        <w:spacing w:before="0" w:beforeAutospacing="0" w:after="0" w:afterAutospacing="0" w:line="193" w:lineRule="atLeast"/>
        <w:ind w:right="79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b/>
          <w:bCs/>
          <w:i/>
          <w:iCs/>
          <w:color w:val="111111"/>
        </w:rPr>
        <w:t xml:space="preserve">4-5 pages </w:t>
      </w:r>
      <w:proofErr w:type="spellStart"/>
      <w:r w:rsidRPr="00F242E2">
        <w:rPr>
          <w:rFonts w:asciiTheme="majorBidi" w:hAnsiTheme="majorBidi" w:cstheme="majorBidi"/>
          <w:b/>
          <w:bCs/>
          <w:i/>
          <w:iCs/>
          <w:color w:val="111111"/>
        </w:rPr>
        <w:t>apa</w:t>
      </w:r>
      <w:proofErr w:type="spellEnd"/>
      <w:r w:rsidRPr="00F242E2">
        <w:rPr>
          <w:rFonts w:asciiTheme="majorBidi" w:hAnsiTheme="majorBidi" w:cstheme="majorBidi"/>
          <w:b/>
          <w:bCs/>
          <w:i/>
          <w:iCs/>
          <w:color w:val="111111"/>
        </w:rPr>
        <w:t xml:space="preserve"> 12 font, times new roman</w:t>
      </w:r>
      <w:bookmarkStart w:id="0" w:name="_GoBack"/>
      <w:bookmarkEnd w:id="0"/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br/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br/>
      </w:r>
    </w:p>
    <w:p w14:paraId="63FA59F9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0" w:afterAutospacing="0" w:line="193" w:lineRule="atLeast"/>
        <w:ind w:right="79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b/>
          <w:bCs/>
          <w:i/>
          <w:iCs/>
          <w:color w:val="111111"/>
          <w:spacing w:val="1"/>
          <w:bdr w:val="none" w:sz="0" w:space="0" w:color="auto" w:frame="1"/>
        </w:rPr>
        <w:t>Context</w:t>
      </w:r>
      <w:r w:rsidRPr="00F242E2">
        <w:rPr>
          <w:rFonts w:asciiTheme="majorBidi" w:hAnsiTheme="majorBidi" w:cstheme="majorBidi"/>
          <w:b/>
          <w:bCs/>
          <w:color w:val="111111"/>
          <w:spacing w:val="1"/>
          <w:bdr w:val="none" w:sz="0" w:space="0" w:color="auto" w:frame="1"/>
        </w:rPr>
        <w:t>: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Synthesize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(</w:t>
      </w:r>
      <w:proofErr w:type="gramStart"/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compare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and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contrast</w:t>
      </w:r>
      <w:proofErr w:type="gramEnd"/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)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this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work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with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readings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and/or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with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what</w:t>
      </w:r>
      <w:r w:rsidRPr="00F242E2">
        <w:rPr>
          <w:rFonts w:asciiTheme="majorBidi" w:hAnsiTheme="majorBidi" w:cstheme="majorBidi"/>
          <w:color w:val="111111"/>
          <w:spacing w:val="5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we</w:t>
      </w:r>
      <w:r w:rsidRPr="00F242E2">
        <w:rPr>
          <w:rFonts w:asciiTheme="majorBidi" w:hAnsiTheme="majorBidi" w:cstheme="majorBidi"/>
          <w:color w:val="111111"/>
          <w:spacing w:val="9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have</w:t>
      </w:r>
      <w:r w:rsidRPr="00F242E2">
        <w:rPr>
          <w:rFonts w:asciiTheme="majorBidi" w:hAnsiTheme="majorBidi" w:cstheme="majorBidi"/>
          <w:color w:val="111111"/>
          <w:spacing w:val="9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covered</w:t>
      </w:r>
      <w:r w:rsidRPr="00F242E2">
        <w:rPr>
          <w:rFonts w:asciiTheme="majorBidi" w:hAnsiTheme="majorBidi" w:cstheme="majorBidi"/>
          <w:color w:val="111111"/>
          <w:spacing w:val="9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9"/>
          <w:bdr w:val="none" w:sz="0" w:space="0" w:color="auto" w:frame="1"/>
        </w:rPr>
        <w:t>in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 class. </w:t>
      </w:r>
      <w:r w:rsidRPr="00F242E2">
        <w:rPr>
          <w:rFonts w:asciiTheme="majorBidi" w:hAnsiTheme="majorBidi" w:cstheme="majorBidi"/>
          <w:i/>
          <w:iCs/>
          <w:color w:val="111111"/>
          <w:spacing w:val="-3"/>
          <w:u w:val="single"/>
          <w:bdr w:val="none" w:sz="0" w:space="0" w:color="auto" w:frame="1"/>
        </w:rPr>
        <w:t>Can you find other research articles that support or challenge the paper?</w:t>
      </w:r>
      <w:r w:rsidRPr="00F242E2">
        <w:rPr>
          <w:rFonts w:asciiTheme="majorBidi" w:hAnsiTheme="majorBidi" w:cstheme="majorBidi"/>
          <w:i/>
          <w:iCs/>
          <w:color w:val="111111"/>
          <w:spacing w:val="-3"/>
          <w:u w:val="single"/>
          <w:bdr w:val="none" w:sz="0" w:space="0" w:color="auto" w:frame="1"/>
        </w:rPr>
        <w:br/>
      </w:r>
      <w:r w:rsidRPr="00F242E2">
        <w:rPr>
          <w:rFonts w:asciiTheme="majorBidi" w:hAnsiTheme="majorBidi" w:cstheme="majorBidi"/>
          <w:i/>
          <w:iCs/>
          <w:color w:val="111111"/>
          <w:spacing w:val="-3"/>
          <w:u w:val="single"/>
          <w:bdr w:val="none" w:sz="0" w:space="0" w:color="auto" w:frame="1"/>
        </w:rPr>
        <w:br/>
      </w:r>
    </w:p>
    <w:p w14:paraId="165A9614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0" w:afterAutospacing="0" w:line="199" w:lineRule="atLeast"/>
        <w:ind w:right="79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b/>
          <w:bCs/>
          <w:i/>
          <w:iCs/>
          <w:color w:val="111111"/>
        </w:rPr>
        <w:t>Relevance &amp; Applicability</w:t>
      </w:r>
      <w:r w:rsidRPr="00F242E2">
        <w:rPr>
          <w:rFonts w:asciiTheme="majorBidi" w:hAnsiTheme="majorBidi" w:cstheme="majorBidi"/>
          <w:b/>
          <w:bCs/>
          <w:color w:val="111111"/>
        </w:rPr>
        <w:t>: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How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is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author’s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or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authors’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work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relevant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to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understanding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cybercrime?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Can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results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be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applied?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Where?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How?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br/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br/>
      </w:r>
      <w:r w:rsidRPr="00F242E2">
        <w:rPr>
          <w:rFonts w:asciiTheme="majorBidi" w:hAnsiTheme="majorBidi" w:cstheme="majorBidi"/>
          <w:b/>
          <w:bCs/>
          <w:i/>
          <w:iCs/>
          <w:color w:val="111111"/>
        </w:rPr>
        <w:t>Critical </w:t>
      </w:r>
      <w:r w:rsidRPr="00F242E2">
        <w:rPr>
          <w:rFonts w:asciiTheme="majorBidi" w:hAnsiTheme="majorBidi" w:cstheme="majorBidi"/>
          <w:b/>
          <w:bCs/>
          <w:i/>
          <w:iCs/>
          <w:color w:val="111111"/>
          <w:spacing w:val="1"/>
          <w:bdr w:val="none" w:sz="0" w:space="0" w:color="auto" w:frame="1"/>
        </w:rPr>
        <w:t>Evaluation</w:t>
      </w:r>
      <w:r w:rsidRPr="00F242E2">
        <w:rPr>
          <w:rFonts w:asciiTheme="majorBidi" w:hAnsiTheme="majorBidi" w:cstheme="majorBidi"/>
          <w:b/>
          <w:bCs/>
          <w:color w:val="111111"/>
          <w:spacing w:val="1"/>
          <w:bdr w:val="none" w:sz="0" w:space="0" w:color="auto" w:frame="1"/>
        </w:rPr>
        <w:t>: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</w:rPr>
        <w:t>A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key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element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to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your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review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is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to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answer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question,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so</w:t>
      </w:r>
      <w:r w:rsidRPr="00F242E2">
        <w:rPr>
          <w:rFonts w:asciiTheme="majorBidi" w:hAnsiTheme="majorBidi" w:cstheme="majorBidi"/>
          <w:color w:val="111111"/>
          <w:spacing w:val="2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what?</w:t>
      </w:r>
      <w:r w:rsidRPr="00F242E2">
        <w:rPr>
          <w:rFonts w:asciiTheme="majorBidi" w:hAnsiTheme="majorBidi" w:cstheme="majorBidi"/>
          <w:color w:val="111111"/>
          <w:spacing w:val="3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What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do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think?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Don’t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just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say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whether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liked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it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or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not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</w:rPr>
        <w:t>–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tell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me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why,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in</w:t>
      </w:r>
      <w:r w:rsidRPr="00F242E2">
        <w:rPr>
          <w:rFonts w:asciiTheme="majorBidi" w:hAnsiTheme="majorBidi" w:cstheme="majorBidi"/>
          <w:color w:val="111111"/>
          <w:spacing w:val="4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4"/>
          <w:bdr w:val="none" w:sz="0" w:space="0" w:color="auto" w:frame="1"/>
        </w:rPr>
        <w:t>your</w:t>
      </w:r>
      <w:r w:rsidRPr="00F242E2">
        <w:rPr>
          <w:rFonts w:asciiTheme="majorBidi" w:hAnsiTheme="majorBidi" w:cstheme="majorBidi"/>
          <w:color w:val="111111"/>
          <w:spacing w:val="40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informed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opinion,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youthink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so.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Share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your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logic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with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reader.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For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example,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did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it</w:t>
      </w:r>
      <w:r w:rsidRPr="00F242E2">
        <w:rPr>
          <w:rFonts w:asciiTheme="majorBidi" w:hAnsiTheme="majorBidi" w:cstheme="majorBidi"/>
          <w:color w:val="111111"/>
          <w:spacing w:val="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help</w:t>
      </w:r>
      <w:r w:rsidRPr="00F242E2">
        <w:rPr>
          <w:rFonts w:asciiTheme="majorBidi" w:hAnsiTheme="majorBidi" w:cstheme="majorBidi"/>
          <w:color w:val="111111"/>
          <w:spacing w:val="5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clarify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your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understanding?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What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was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omitted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that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would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be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useful?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Give</w:t>
      </w:r>
      <w:r w:rsidRPr="00F242E2">
        <w:rPr>
          <w:rFonts w:asciiTheme="majorBidi" w:hAnsiTheme="majorBidi" w:cstheme="majorBidi"/>
          <w:color w:val="111111"/>
          <w:spacing w:val="5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examples of</w:t>
      </w:r>
      <w:r w:rsidRPr="00F242E2">
        <w:rPr>
          <w:rFonts w:asciiTheme="majorBidi" w:hAnsiTheme="majorBidi" w:cstheme="majorBidi"/>
          <w:color w:val="111111"/>
          <w:spacing w:val="4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paper’s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proofErr w:type="gramStart"/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usefulness,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or</w:t>
      </w:r>
      <w:proofErr w:type="gramEnd"/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identify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what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wouldmake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1"/>
          <w:bdr w:val="none" w:sz="0" w:space="0" w:color="auto" w:frame="1"/>
        </w:rPr>
        <w:t>it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more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useful.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Identify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major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points.</w:t>
      </w:r>
      <w:r w:rsidRPr="00F242E2">
        <w:rPr>
          <w:rFonts w:asciiTheme="majorBidi" w:hAnsiTheme="majorBidi" w:cstheme="majorBidi"/>
          <w:color w:val="111111"/>
          <w:spacing w:val="43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That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is,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why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are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the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issues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2"/>
          <w:bdr w:val="none" w:sz="0" w:space="0" w:color="auto" w:frame="1"/>
        </w:rPr>
        <w:t>and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themes</w:t>
      </w:r>
      <w:r w:rsidRPr="00F242E2">
        <w:rPr>
          <w:rFonts w:asciiTheme="majorBidi" w:hAnsiTheme="majorBidi" w:cstheme="majorBidi"/>
          <w:color w:val="111111"/>
          <w:spacing w:val="7"/>
          <w:bdr w:val="none" w:sz="0" w:space="0" w:color="auto" w:frame="1"/>
        </w:rPr>
        <w:t> </w:t>
      </w:r>
      <w:r w:rsidRPr="00F242E2">
        <w:rPr>
          <w:rFonts w:asciiTheme="majorBidi" w:hAnsiTheme="majorBidi" w:cstheme="majorBidi"/>
          <w:color w:val="111111"/>
          <w:spacing w:val="-3"/>
          <w:bdr w:val="none" w:sz="0" w:space="0" w:color="auto" w:frame="1"/>
        </w:rPr>
        <w:t>important?</w:t>
      </w:r>
    </w:p>
    <w:p w14:paraId="2C3C30F8" w14:textId="462A6D4F" w:rsidR="00A5407B" w:rsidRPr="00F242E2" w:rsidRDefault="00A5407B" w:rsidP="00F242E2">
      <w:pPr>
        <w:rPr>
          <w:rFonts w:asciiTheme="majorBidi" w:hAnsiTheme="majorBidi" w:cstheme="majorBidi"/>
        </w:rPr>
      </w:pPr>
    </w:p>
    <w:p w14:paraId="64B056E0" w14:textId="5C01ADC9" w:rsidR="00F242E2" w:rsidRPr="00F242E2" w:rsidRDefault="00F242E2" w:rsidP="00F242E2">
      <w:pPr>
        <w:rPr>
          <w:rFonts w:asciiTheme="majorBidi" w:hAnsiTheme="majorBidi" w:cstheme="majorBidi"/>
        </w:rPr>
      </w:pPr>
    </w:p>
    <w:p w14:paraId="4774CCC3" w14:textId="2DA33862" w:rsidR="00F242E2" w:rsidRPr="00F242E2" w:rsidRDefault="00F242E2" w:rsidP="00F242E2">
      <w:pPr>
        <w:rPr>
          <w:rFonts w:asciiTheme="majorBidi" w:hAnsiTheme="majorBidi" w:cstheme="majorBidi"/>
        </w:rPr>
      </w:pPr>
      <w:r w:rsidRPr="00F242E2">
        <w:rPr>
          <w:rFonts w:asciiTheme="majorBidi" w:hAnsiTheme="majorBidi" w:cstheme="majorBidi"/>
        </w:rPr>
        <w:t xml:space="preserve">Choose one of the following articles. Use other sources to support the topic you choose </w:t>
      </w:r>
    </w:p>
    <w:p w14:paraId="36A49A5B" w14:textId="63C2768A" w:rsidR="00F242E2" w:rsidRPr="00F242E2" w:rsidRDefault="00F242E2" w:rsidP="00F242E2">
      <w:pPr>
        <w:rPr>
          <w:rFonts w:asciiTheme="majorBidi" w:hAnsiTheme="majorBidi" w:cstheme="majorBidi"/>
        </w:rPr>
      </w:pPr>
    </w:p>
    <w:p w14:paraId="4972F18C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color w:val="111111"/>
        </w:rPr>
        <w:t>Holt, T. J., &amp; Dupont, B. (2018). Exploring the factors associated with rejection from a closed cybercrime community. </w:t>
      </w:r>
      <w:r w:rsidRPr="00F242E2">
        <w:rPr>
          <w:rFonts w:asciiTheme="majorBidi" w:hAnsiTheme="majorBidi" w:cstheme="majorBidi"/>
          <w:i/>
          <w:iCs/>
          <w:color w:val="111111"/>
        </w:rPr>
        <w:t>International journal of offender therapy and comparative criminology</w:t>
      </w:r>
      <w:r w:rsidRPr="00F242E2">
        <w:rPr>
          <w:rFonts w:asciiTheme="majorBidi" w:hAnsiTheme="majorBidi" w:cstheme="majorBidi"/>
          <w:color w:val="111111"/>
        </w:rPr>
        <w:t>, 0306624X18811101.</w:t>
      </w:r>
    </w:p>
    <w:p w14:paraId="59A9745B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color w:val="111111"/>
        </w:rPr>
        <w:t xml:space="preserve">Van de </w:t>
      </w:r>
      <w:proofErr w:type="spellStart"/>
      <w:r w:rsidRPr="00F242E2">
        <w:rPr>
          <w:rFonts w:asciiTheme="majorBidi" w:hAnsiTheme="majorBidi" w:cstheme="majorBidi"/>
          <w:color w:val="111111"/>
        </w:rPr>
        <w:t>Weijer</w:t>
      </w:r>
      <w:proofErr w:type="spellEnd"/>
      <w:r w:rsidRPr="00F242E2">
        <w:rPr>
          <w:rFonts w:asciiTheme="majorBidi" w:hAnsiTheme="majorBidi" w:cstheme="majorBidi"/>
          <w:color w:val="111111"/>
        </w:rPr>
        <w:t xml:space="preserve">, S. G., </w:t>
      </w:r>
      <w:proofErr w:type="spellStart"/>
      <w:r w:rsidRPr="00F242E2">
        <w:rPr>
          <w:rFonts w:asciiTheme="majorBidi" w:hAnsiTheme="majorBidi" w:cstheme="majorBidi"/>
          <w:color w:val="111111"/>
        </w:rPr>
        <w:t>Leukfeldt</w:t>
      </w:r>
      <w:proofErr w:type="spellEnd"/>
      <w:r w:rsidRPr="00F242E2">
        <w:rPr>
          <w:rFonts w:asciiTheme="majorBidi" w:hAnsiTheme="majorBidi" w:cstheme="majorBidi"/>
          <w:color w:val="111111"/>
        </w:rPr>
        <w:t xml:space="preserve">, R., &amp; </w:t>
      </w:r>
      <w:proofErr w:type="spellStart"/>
      <w:r w:rsidRPr="00F242E2">
        <w:rPr>
          <w:rFonts w:asciiTheme="majorBidi" w:hAnsiTheme="majorBidi" w:cstheme="majorBidi"/>
          <w:color w:val="111111"/>
        </w:rPr>
        <w:t>Bernasco</w:t>
      </w:r>
      <w:proofErr w:type="spellEnd"/>
      <w:r w:rsidRPr="00F242E2">
        <w:rPr>
          <w:rFonts w:asciiTheme="majorBidi" w:hAnsiTheme="majorBidi" w:cstheme="majorBidi"/>
          <w:color w:val="111111"/>
        </w:rPr>
        <w:t>, W. (2018). Determinants of reporting cybercrime: A comparison between identity theft, consumer fraud, and hacking. </w:t>
      </w:r>
      <w:r w:rsidRPr="00F242E2">
        <w:rPr>
          <w:rFonts w:asciiTheme="majorBidi" w:hAnsiTheme="majorBidi" w:cstheme="majorBidi"/>
          <w:i/>
          <w:iCs/>
          <w:color w:val="111111"/>
        </w:rPr>
        <w:t>European Journal of Criminology</w:t>
      </w:r>
      <w:r w:rsidRPr="00F242E2">
        <w:rPr>
          <w:rFonts w:asciiTheme="majorBidi" w:hAnsiTheme="majorBidi" w:cstheme="majorBidi"/>
          <w:color w:val="111111"/>
        </w:rPr>
        <w:t>, 1477370818773610.</w:t>
      </w:r>
    </w:p>
    <w:p w14:paraId="54E1A17F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proofErr w:type="spellStart"/>
      <w:r w:rsidRPr="00F242E2">
        <w:rPr>
          <w:rFonts w:asciiTheme="majorBidi" w:hAnsiTheme="majorBidi" w:cstheme="majorBidi"/>
          <w:color w:val="111111"/>
        </w:rPr>
        <w:t>Finklea</w:t>
      </w:r>
      <w:proofErr w:type="spellEnd"/>
      <w:r w:rsidRPr="00F242E2">
        <w:rPr>
          <w:rFonts w:asciiTheme="majorBidi" w:hAnsiTheme="majorBidi" w:cstheme="majorBidi"/>
          <w:color w:val="111111"/>
        </w:rPr>
        <w:t xml:space="preserve">, K. M., &amp; </w:t>
      </w:r>
      <w:proofErr w:type="spellStart"/>
      <w:r w:rsidRPr="00F242E2">
        <w:rPr>
          <w:rFonts w:asciiTheme="majorBidi" w:hAnsiTheme="majorBidi" w:cstheme="majorBidi"/>
          <w:color w:val="111111"/>
        </w:rPr>
        <w:t>Theohary</w:t>
      </w:r>
      <w:proofErr w:type="spellEnd"/>
      <w:r w:rsidRPr="00F242E2">
        <w:rPr>
          <w:rFonts w:asciiTheme="majorBidi" w:hAnsiTheme="majorBidi" w:cstheme="majorBidi"/>
          <w:color w:val="111111"/>
        </w:rPr>
        <w:t>, C. A. (2015, January). Cybercrime: conceptual issues for congress and US law enforcement. Congressional Research Service, Library of Congress.</w:t>
      </w:r>
    </w:p>
    <w:p w14:paraId="6EFD6830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proofErr w:type="spellStart"/>
      <w:r w:rsidRPr="00F242E2">
        <w:rPr>
          <w:rFonts w:asciiTheme="majorBidi" w:hAnsiTheme="majorBidi" w:cstheme="majorBidi"/>
          <w:color w:val="111111"/>
        </w:rPr>
        <w:t>Nouh</w:t>
      </w:r>
      <w:proofErr w:type="spellEnd"/>
      <w:r w:rsidRPr="00F242E2">
        <w:rPr>
          <w:rFonts w:asciiTheme="majorBidi" w:hAnsiTheme="majorBidi" w:cstheme="majorBidi"/>
          <w:color w:val="111111"/>
        </w:rPr>
        <w:t>, M., Nurse, J. R., Webb, H., &amp; Goldsmith, M. (2019). Cybercrime Investigators are Users Too! Understanding the Socio-Technical Challenges Faced by Law Enforcement. </w:t>
      </w:r>
      <w:proofErr w:type="spellStart"/>
      <w:r w:rsidRPr="00F242E2">
        <w:rPr>
          <w:rFonts w:asciiTheme="majorBidi" w:hAnsiTheme="majorBidi" w:cstheme="majorBidi"/>
          <w:i/>
          <w:iCs/>
          <w:color w:val="111111"/>
        </w:rPr>
        <w:t>arXiv</w:t>
      </w:r>
      <w:proofErr w:type="spellEnd"/>
      <w:r w:rsidRPr="00F242E2">
        <w:rPr>
          <w:rFonts w:asciiTheme="majorBidi" w:hAnsiTheme="majorBidi" w:cstheme="majorBidi"/>
          <w:i/>
          <w:iCs/>
          <w:color w:val="111111"/>
        </w:rPr>
        <w:t xml:space="preserve"> preprint arXiv:1902.06961</w:t>
      </w:r>
      <w:r w:rsidRPr="00F242E2">
        <w:rPr>
          <w:rFonts w:asciiTheme="majorBidi" w:hAnsiTheme="majorBidi" w:cstheme="majorBidi"/>
          <w:color w:val="111111"/>
        </w:rPr>
        <w:t>.</w:t>
      </w:r>
    </w:p>
    <w:p w14:paraId="0A92FE97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color w:val="111111"/>
        </w:rPr>
        <w:t xml:space="preserve">Van der </w:t>
      </w:r>
      <w:proofErr w:type="spellStart"/>
      <w:r w:rsidRPr="00F242E2">
        <w:rPr>
          <w:rFonts w:asciiTheme="majorBidi" w:hAnsiTheme="majorBidi" w:cstheme="majorBidi"/>
          <w:color w:val="111111"/>
        </w:rPr>
        <w:t>Wagen</w:t>
      </w:r>
      <w:proofErr w:type="spellEnd"/>
      <w:r w:rsidRPr="00F242E2">
        <w:rPr>
          <w:rFonts w:asciiTheme="majorBidi" w:hAnsiTheme="majorBidi" w:cstheme="majorBidi"/>
          <w:color w:val="111111"/>
        </w:rPr>
        <w:t>, W., &amp; Pieters, W. (2015). From cybercrime to cyborg crime: Botnets as hybrid criminal actor-networks. </w:t>
      </w:r>
      <w:r w:rsidRPr="00F242E2">
        <w:rPr>
          <w:rFonts w:asciiTheme="majorBidi" w:hAnsiTheme="majorBidi" w:cstheme="majorBidi"/>
          <w:i/>
          <w:iCs/>
          <w:color w:val="111111"/>
        </w:rPr>
        <w:t>British journal of criminology</w:t>
      </w:r>
      <w:r w:rsidRPr="00F242E2">
        <w:rPr>
          <w:rFonts w:asciiTheme="majorBidi" w:hAnsiTheme="majorBidi" w:cstheme="majorBidi"/>
          <w:color w:val="111111"/>
        </w:rPr>
        <w:t>, </w:t>
      </w:r>
      <w:r w:rsidRPr="00F242E2">
        <w:rPr>
          <w:rFonts w:asciiTheme="majorBidi" w:hAnsiTheme="majorBidi" w:cstheme="majorBidi"/>
          <w:i/>
          <w:iCs/>
          <w:color w:val="111111"/>
        </w:rPr>
        <w:t>55</w:t>
      </w:r>
      <w:r w:rsidRPr="00F242E2">
        <w:rPr>
          <w:rFonts w:asciiTheme="majorBidi" w:hAnsiTheme="majorBidi" w:cstheme="majorBidi"/>
          <w:color w:val="111111"/>
        </w:rPr>
        <w:t>(3), 578-595.</w:t>
      </w:r>
    </w:p>
    <w:p w14:paraId="443D91CA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r w:rsidRPr="00F242E2">
        <w:rPr>
          <w:rFonts w:asciiTheme="majorBidi" w:hAnsiTheme="majorBidi" w:cstheme="majorBidi"/>
          <w:color w:val="111111"/>
        </w:rPr>
        <w:t>Hutchings, A., &amp; Holt, T. J. (2018). Interviewing cybercrime offenders. </w:t>
      </w:r>
      <w:r w:rsidRPr="00F242E2">
        <w:rPr>
          <w:rFonts w:asciiTheme="majorBidi" w:hAnsiTheme="majorBidi" w:cstheme="majorBidi"/>
          <w:i/>
          <w:iCs/>
          <w:color w:val="111111"/>
        </w:rPr>
        <w:t>JQCJC</w:t>
      </w:r>
      <w:r w:rsidRPr="00F242E2">
        <w:rPr>
          <w:rFonts w:asciiTheme="majorBidi" w:hAnsiTheme="majorBidi" w:cstheme="majorBidi"/>
          <w:color w:val="111111"/>
        </w:rPr>
        <w:t>, 75.</w:t>
      </w:r>
    </w:p>
    <w:p w14:paraId="090ECF4C" w14:textId="77777777" w:rsidR="00F242E2" w:rsidRPr="00F242E2" w:rsidRDefault="00F242E2" w:rsidP="00F242E2">
      <w:pPr>
        <w:pStyle w:val="NormalWeb"/>
        <w:shd w:val="clear" w:color="auto" w:fill="FFFFFF"/>
        <w:spacing w:before="0" w:beforeAutospacing="0" w:after="160" w:afterAutospacing="0" w:line="209" w:lineRule="atLeast"/>
        <w:rPr>
          <w:rFonts w:asciiTheme="majorBidi" w:hAnsiTheme="majorBidi" w:cstheme="majorBidi"/>
          <w:color w:val="111111"/>
        </w:rPr>
      </w:pPr>
      <w:proofErr w:type="spellStart"/>
      <w:r w:rsidRPr="00F242E2">
        <w:rPr>
          <w:rFonts w:asciiTheme="majorBidi" w:hAnsiTheme="majorBidi" w:cstheme="majorBidi"/>
          <w:color w:val="111111"/>
        </w:rPr>
        <w:t>Weulen</w:t>
      </w:r>
      <w:proofErr w:type="spellEnd"/>
      <w:r w:rsidRPr="00F242E2">
        <w:rPr>
          <w:rFonts w:asciiTheme="majorBidi" w:hAnsiTheme="majorBidi" w:cstheme="majorBidi"/>
          <w:color w:val="111111"/>
        </w:rPr>
        <w:t xml:space="preserve"> </w:t>
      </w:r>
      <w:proofErr w:type="spellStart"/>
      <w:r w:rsidRPr="00F242E2">
        <w:rPr>
          <w:rFonts w:asciiTheme="majorBidi" w:hAnsiTheme="majorBidi" w:cstheme="majorBidi"/>
          <w:color w:val="111111"/>
        </w:rPr>
        <w:t>Kranenbarg</w:t>
      </w:r>
      <w:proofErr w:type="spellEnd"/>
      <w:r w:rsidRPr="00F242E2">
        <w:rPr>
          <w:rFonts w:asciiTheme="majorBidi" w:hAnsiTheme="majorBidi" w:cstheme="majorBidi"/>
          <w:color w:val="111111"/>
        </w:rPr>
        <w:t>, M., Holt, T. J., &amp; van Gelder, J. L. (2019). Offending and victimization in the digital age: Comparing correlates of cybercrime and traditional offending-only, victimization-only and the victimization-offending overlap. </w:t>
      </w:r>
      <w:r w:rsidRPr="00F242E2">
        <w:rPr>
          <w:rFonts w:asciiTheme="majorBidi" w:hAnsiTheme="majorBidi" w:cstheme="majorBidi"/>
          <w:i/>
          <w:iCs/>
          <w:color w:val="111111"/>
        </w:rPr>
        <w:t>Deviant Behavior</w:t>
      </w:r>
      <w:r w:rsidRPr="00F242E2">
        <w:rPr>
          <w:rFonts w:asciiTheme="majorBidi" w:hAnsiTheme="majorBidi" w:cstheme="majorBidi"/>
          <w:color w:val="111111"/>
        </w:rPr>
        <w:t>, </w:t>
      </w:r>
      <w:r w:rsidRPr="00F242E2">
        <w:rPr>
          <w:rFonts w:asciiTheme="majorBidi" w:hAnsiTheme="majorBidi" w:cstheme="majorBidi"/>
          <w:i/>
          <w:iCs/>
          <w:color w:val="111111"/>
        </w:rPr>
        <w:t>40</w:t>
      </w:r>
      <w:r w:rsidRPr="00F242E2">
        <w:rPr>
          <w:rFonts w:asciiTheme="majorBidi" w:hAnsiTheme="majorBidi" w:cstheme="majorBidi"/>
          <w:color w:val="111111"/>
        </w:rPr>
        <w:t>(1), 40-55.</w:t>
      </w:r>
    </w:p>
    <w:p w14:paraId="364A7209" w14:textId="77777777" w:rsidR="00F242E2" w:rsidRPr="00F242E2" w:rsidRDefault="00F242E2" w:rsidP="00F242E2"/>
    <w:sectPr w:rsidR="00F242E2" w:rsidRPr="00F24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2"/>
    <w:rsid w:val="007B5B12"/>
    <w:rsid w:val="00A5407B"/>
    <w:rsid w:val="00D55478"/>
    <w:rsid w:val="00F2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D5C3"/>
  <w15:chartTrackingRefBased/>
  <w15:docId w15:val="{89FE56BA-D388-42E9-A48E-C1ED7B38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42E2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0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Bader Al-Ghanim</dc:creator>
  <cp:keywords/>
  <dc:description/>
  <cp:lastModifiedBy>Bader Al-Ghanim</cp:lastModifiedBy>
  <cp:revision>1</cp:revision>
  <dcterms:created xsi:type="dcterms:W3CDTF">2019-04-19T19:01:00Z</dcterms:created>
  <dcterms:modified xsi:type="dcterms:W3CDTF">2019-04-19T19:08:00Z</dcterms:modified>
</cp:coreProperties>
</file>